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16F75" w14:textId="00C1DF28" w:rsidR="00641CDC" w:rsidRDefault="00641CDC" w:rsidP="00641CDC">
      <w:pPr>
        <w:spacing w:after="159" w:line="259" w:lineRule="auto"/>
        <w:ind w:left="0" w:firstLine="0"/>
        <w:rPr>
          <w:rFonts w:asciiTheme="majorHAnsi" w:hAnsiTheme="majorHAnsi" w:cstheme="majorHAnsi"/>
          <w:b/>
          <w:sz w:val="24"/>
        </w:rPr>
      </w:pPr>
    </w:p>
    <w:p w14:paraId="56C389D0" w14:textId="4B484B31" w:rsidR="00641CDC" w:rsidRDefault="00641CDC" w:rsidP="007703AF">
      <w:pPr>
        <w:spacing w:after="159" w:line="259" w:lineRule="auto"/>
        <w:ind w:left="-5"/>
        <w:rPr>
          <w:rFonts w:asciiTheme="majorHAnsi" w:hAnsiTheme="majorHAnsi" w:cstheme="majorHAnsi"/>
          <w:b/>
          <w:sz w:val="24"/>
        </w:rPr>
      </w:pPr>
      <w:r>
        <w:rPr>
          <w:rFonts w:asciiTheme="majorHAnsi" w:hAnsiTheme="majorHAnsi" w:cstheme="majorHAnsi"/>
          <w:b/>
          <w:sz w:val="24"/>
        </w:rPr>
        <w:t xml:space="preserve">Information correct at </w:t>
      </w:r>
      <w:r w:rsidR="00E2521D">
        <w:rPr>
          <w:rFonts w:asciiTheme="majorHAnsi" w:hAnsiTheme="majorHAnsi" w:cstheme="majorHAnsi"/>
          <w:b/>
          <w:sz w:val="24"/>
        </w:rPr>
        <w:t>08.01</w:t>
      </w:r>
      <w:r>
        <w:rPr>
          <w:rFonts w:asciiTheme="majorHAnsi" w:hAnsiTheme="majorHAnsi" w:cstheme="majorHAnsi"/>
          <w:b/>
          <w:sz w:val="24"/>
        </w:rPr>
        <w:t>.20</w:t>
      </w:r>
    </w:p>
    <w:p w14:paraId="53125345" w14:textId="5B75A95C" w:rsidR="007703AF" w:rsidRPr="00ED32C7" w:rsidRDefault="007703AF" w:rsidP="007703AF">
      <w:pPr>
        <w:spacing w:after="159" w:line="259" w:lineRule="auto"/>
        <w:ind w:left="-5"/>
        <w:rPr>
          <w:rFonts w:asciiTheme="majorHAnsi" w:hAnsiTheme="majorHAnsi" w:cstheme="majorHAnsi"/>
        </w:rPr>
      </w:pPr>
      <w:r w:rsidRPr="00ED32C7">
        <w:rPr>
          <w:rFonts w:asciiTheme="majorHAnsi" w:hAnsiTheme="majorHAnsi" w:cstheme="majorHAnsi"/>
          <w:b/>
          <w:sz w:val="24"/>
        </w:rPr>
        <w:t xml:space="preserve">ACCESS TO REMOTE EDUCATION </w:t>
      </w:r>
    </w:p>
    <w:p w14:paraId="01115DD4" w14:textId="77777777" w:rsidR="007703AF" w:rsidRPr="00ED32C7" w:rsidRDefault="007703AF" w:rsidP="007703AF">
      <w:pPr>
        <w:spacing w:after="123" w:line="259" w:lineRule="auto"/>
        <w:ind w:left="-5"/>
        <w:rPr>
          <w:rFonts w:asciiTheme="majorHAnsi" w:hAnsiTheme="majorHAnsi" w:cstheme="majorHAnsi"/>
        </w:rPr>
      </w:pPr>
      <w:r w:rsidRPr="00ED32C7">
        <w:rPr>
          <w:rFonts w:asciiTheme="majorHAnsi" w:hAnsiTheme="majorHAnsi" w:cstheme="majorHAnsi"/>
          <w:b/>
          <w:sz w:val="24"/>
        </w:rPr>
        <w:t xml:space="preserve">The </w:t>
      </w:r>
      <w:proofErr w:type="spellStart"/>
      <w:r w:rsidRPr="00ED32C7">
        <w:rPr>
          <w:rFonts w:asciiTheme="majorHAnsi" w:hAnsiTheme="majorHAnsi" w:cstheme="majorHAnsi"/>
          <w:b/>
          <w:sz w:val="24"/>
        </w:rPr>
        <w:t>Malling</w:t>
      </w:r>
      <w:proofErr w:type="spellEnd"/>
      <w:r w:rsidRPr="00ED32C7">
        <w:rPr>
          <w:rFonts w:asciiTheme="majorHAnsi" w:hAnsiTheme="majorHAnsi" w:cstheme="majorHAnsi"/>
          <w:b/>
          <w:sz w:val="24"/>
        </w:rPr>
        <w:t xml:space="preserve"> Partnership Headteachers’ Joint Statement on School Attendance and the Provision of Remote Learning </w:t>
      </w:r>
    </w:p>
    <w:p w14:paraId="124946BD" w14:textId="77777777" w:rsidR="007703AF" w:rsidRPr="00ED32C7" w:rsidRDefault="007703AF" w:rsidP="007703AF">
      <w:pPr>
        <w:pStyle w:val="Heading1"/>
        <w:ind w:left="-5"/>
        <w:rPr>
          <w:rFonts w:asciiTheme="majorHAnsi" w:hAnsiTheme="majorHAnsi" w:cstheme="majorHAnsi"/>
        </w:rPr>
      </w:pPr>
      <w:r w:rsidRPr="00ED32C7">
        <w:rPr>
          <w:rFonts w:asciiTheme="majorHAnsi" w:hAnsiTheme="majorHAnsi" w:cstheme="majorHAnsi"/>
        </w:rPr>
        <w:t xml:space="preserve">School Attendance </w:t>
      </w:r>
    </w:p>
    <w:p w14:paraId="202B8765" w14:textId="2A90D5C4" w:rsidR="007703AF" w:rsidRPr="00ED32C7" w:rsidRDefault="007703AF" w:rsidP="007703AF">
      <w:pPr>
        <w:ind w:left="-5"/>
        <w:rPr>
          <w:rFonts w:asciiTheme="majorHAnsi" w:hAnsiTheme="majorHAnsi" w:cstheme="majorHAnsi"/>
        </w:rPr>
      </w:pPr>
      <w:r w:rsidRPr="00ED32C7">
        <w:rPr>
          <w:rFonts w:asciiTheme="majorHAnsi" w:hAnsiTheme="majorHAnsi" w:cstheme="majorHAnsi"/>
        </w:rPr>
        <w:t xml:space="preserve">DfE </w:t>
      </w:r>
      <w:r w:rsidRPr="00ED32C7">
        <w:rPr>
          <w:rFonts w:asciiTheme="majorHAnsi" w:hAnsiTheme="majorHAnsi" w:cstheme="majorHAnsi"/>
          <w:color w:val="0563C1"/>
          <w:u w:val="single" w:color="0563C1"/>
        </w:rPr>
        <w:t>Guidance for full opening: schools</w:t>
      </w:r>
      <w:r w:rsidRPr="00ED32C7">
        <w:rPr>
          <w:rFonts w:asciiTheme="majorHAnsi" w:hAnsiTheme="majorHAnsi" w:cstheme="majorHAnsi"/>
        </w:rPr>
        <w:t xml:space="preserve"> states that</w:t>
      </w:r>
      <w:r w:rsidR="00E2521D" w:rsidRPr="00E2521D">
        <w:t xml:space="preserve"> </w:t>
      </w:r>
      <w:r w:rsidR="00E2521D">
        <w:rPr>
          <w:rFonts w:asciiTheme="majorHAnsi" w:hAnsiTheme="majorHAnsi" w:cstheme="majorHAnsi"/>
        </w:rPr>
        <w:t>d</w:t>
      </w:r>
      <w:r w:rsidR="00E2521D" w:rsidRPr="00E2521D">
        <w:rPr>
          <w:rFonts w:asciiTheme="majorHAnsi" w:hAnsiTheme="majorHAnsi" w:cstheme="majorHAnsi"/>
        </w:rPr>
        <w:t>uring the period of national lockdown, schools, alternative provision (AP), special schools, colleges and wraparound childcare and other out-of-school activities for children should allow only vulnerable children and young people and the children of critical workers to attend</w:t>
      </w:r>
      <w:r w:rsidR="00E2521D">
        <w:rPr>
          <w:rFonts w:asciiTheme="majorHAnsi" w:hAnsiTheme="majorHAnsi" w:cstheme="majorHAnsi"/>
        </w:rPr>
        <w:t>. P</w:t>
      </w:r>
      <w:r w:rsidRPr="00ED32C7">
        <w:rPr>
          <w:rFonts w:asciiTheme="majorHAnsi" w:hAnsiTheme="majorHAnsi" w:cstheme="majorHAnsi"/>
        </w:rPr>
        <w:t>upils in all years should return to school full time f</w:t>
      </w:r>
      <w:r w:rsidR="00E2521D">
        <w:rPr>
          <w:rFonts w:asciiTheme="majorHAnsi" w:hAnsiTheme="majorHAnsi" w:cstheme="majorHAnsi"/>
        </w:rPr>
        <w:t>ollowing the February 2020 half term</w:t>
      </w:r>
      <w:r w:rsidRPr="00ED32C7">
        <w:rPr>
          <w:rFonts w:asciiTheme="majorHAnsi" w:hAnsiTheme="majorHAnsi" w:cstheme="majorHAnsi"/>
        </w:rPr>
        <w:t xml:space="preserve">, </w:t>
      </w:r>
      <w:proofErr w:type="spellStart"/>
      <w:r w:rsidRPr="00ED32C7">
        <w:rPr>
          <w:rFonts w:asciiTheme="majorHAnsi" w:hAnsiTheme="majorHAnsi" w:cstheme="majorHAnsi"/>
        </w:rPr>
        <w:t>recognising</w:t>
      </w:r>
      <w:proofErr w:type="spellEnd"/>
      <w:r w:rsidRPr="00ED32C7">
        <w:rPr>
          <w:rFonts w:asciiTheme="majorHAnsi" w:hAnsiTheme="majorHAnsi" w:cstheme="majorHAnsi"/>
        </w:rPr>
        <w:t xml:space="preserve"> this is vital for academic progress and student wellbeing.  All state-funded schools are required to follow this published guidance and have statutory responsibilities to secure the attendance of students in full time education.  </w:t>
      </w:r>
    </w:p>
    <w:p w14:paraId="40F5FEA7" w14:textId="77777777" w:rsidR="007703AF" w:rsidRPr="00ED32C7" w:rsidRDefault="007703AF" w:rsidP="007703AF">
      <w:pPr>
        <w:spacing w:after="0" w:line="259" w:lineRule="auto"/>
        <w:ind w:left="0" w:firstLine="0"/>
        <w:rPr>
          <w:rFonts w:asciiTheme="majorHAnsi" w:hAnsiTheme="majorHAnsi" w:cstheme="majorHAnsi"/>
        </w:rPr>
      </w:pPr>
      <w:r w:rsidRPr="00ED32C7">
        <w:rPr>
          <w:rFonts w:asciiTheme="majorHAnsi" w:hAnsiTheme="majorHAnsi" w:cstheme="majorHAnsi"/>
        </w:rPr>
        <w:t xml:space="preserve"> </w:t>
      </w:r>
      <w:bookmarkStart w:id="0" w:name="_GoBack"/>
      <w:bookmarkEnd w:id="0"/>
    </w:p>
    <w:p w14:paraId="38371D67" w14:textId="77777777" w:rsidR="007703AF" w:rsidRPr="00ED32C7" w:rsidRDefault="007703AF" w:rsidP="007703AF">
      <w:pPr>
        <w:spacing w:after="171"/>
        <w:ind w:left="-5"/>
        <w:rPr>
          <w:rFonts w:asciiTheme="majorHAnsi" w:hAnsiTheme="majorHAnsi" w:cstheme="majorHAnsi"/>
        </w:rPr>
      </w:pPr>
      <w:r w:rsidRPr="00ED32C7">
        <w:rPr>
          <w:rFonts w:asciiTheme="majorHAnsi" w:hAnsiTheme="majorHAnsi" w:cstheme="majorHAnsi"/>
        </w:rPr>
        <w:t xml:space="preserve">The Guidance specifically outlines attendance expectations; stating parents have a duty to ensure their child attends school regularly and schools have a duty to record attendance and follow up absence, including the appropriate use of available sanctions (in line with the Local Authority Code of Conduct). The guidance makes clear that shielding has paused and all, but a very small number of, children previously required to shield should return to school.  If a child’s health condition is such that they must continue to shield, this is confirmed by their GP or consultant. </w:t>
      </w:r>
    </w:p>
    <w:p w14:paraId="356FDA93" w14:textId="77777777" w:rsidR="007703AF" w:rsidRPr="00ED32C7" w:rsidRDefault="007703AF" w:rsidP="007703AF">
      <w:pPr>
        <w:pStyle w:val="Heading1"/>
        <w:ind w:left="-5"/>
        <w:rPr>
          <w:rFonts w:asciiTheme="majorHAnsi" w:hAnsiTheme="majorHAnsi" w:cstheme="majorHAnsi"/>
        </w:rPr>
      </w:pPr>
      <w:r w:rsidRPr="00ED32C7">
        <w:rPr>
          <w:rFonts w:asciiTheme="majorHAnsi" w:hAnsiTheme="majorHAnsi" w:cstheme="majorHAnsi"/>
        </w:rPr>
        <w:t xml:space="preserve">Access to Remote Learning </w:t>
      </w:r>
    </w:p>
    <w:p w14:paraId="1F21114C" w14:textId="77777777" w:rsidR="007703AF" w:rsidRPr="00ED32C7" w:rsidRDefault="007703AF" w:rsidP="007703AF">
      <w:pPr>
        <w:ind w:left="-5"/>
        <w:rPr>
          <w:rFonts w:asciiTheme="majorHAnsi" w:hAnsiTheme="majorHAnsi" w:cstheme="majorHAnsi"/>
        </w:rPr>
      </w:pPr>
      <w:r w:rsidRPr="00ED32C7">
        <w:rPr>
          <w:rFonts w:asciiTheme="majorHAnsi" w:hAnsiTheme="majorHAnsi" w:cstheme="majorHAnsi"/>
        </w:rPr>
        <w:t xml:space="preserve">With regard to the provision of remote education the Guidance is clear that where a child is unable to attend school </w:t>
      </w:r>
      <w:r w:rsidRPr="00ED32C7">
        <w:rPr>
          <w:rFonts w:asciiTheme="majorHAnsi" w:hAnsiTheme="majorHAnsi" w:cstheme="majorHAnsi"/>
          <w:b/>
          <w:i/>
        </w:rPr>
        <w:t>because they are complying with clinical or public health advice</w:t>
      </w:r>
      <w:r w:rsidRPr="00ED32C7">
        <w:rPr>
          <w:rFonts w:asciiTheme="majorHAnsi" w:hAnsiTheme="majorHAnsi" w:cstheme="majorHAnsi"/>
        </w:rPr>
        <w:t xml:space="preserve"> the School is expected to immediately offer that child access to remote education and the absence will not be </w:t>
      </w:r>
      <w:proofErr w:type="spellStart"/>
      <w:r w:rsidRPr="00ED32C7">
        <w:rPr>
          <w:rFonts w:asciiTheme="majorHAnsi" w:hAnsiTheme="majorHAnsi" w:cstheme="majorHAnsi"/>
        </w:rPr>
        <w:t>penalised</w:t>
      </w:r>
      <w:proofErr w:type="spellEnd"/>
      <w:r w:rsidRPr="00ED32C7">
        <w:rPr>
          <w:rFonts w:asciiTheme="majorHAnsi" w:hAnsiTheme="majorHAnsi" w:cstheme="majorHAnsi"/>
        </w:rPr>
        <w:t xml:space="preserve">.  All other children must attend school.  </w:t>
      </w:r>
    </w:p>
    <w:p w14:paraId="52A1468F" w14:textId="77777777" w:rsidR="007703AF" w:rsidRPr="00ED32C7" w:rsidRDefault="007703AF" w:rsidP="007703AF">
      <w:pPr>
        <w:spacing w:after="0" w:line="259" w:lineRule="auto"/>
        <w:ind w:left="0" w:firstLine="0"/>
        <w:rPr>
          <w:rFonts w:asciiTheme="majorHAnsi" w:hAnsiTheme="majorHAnsi" w:cstheme="majorHAnsi"/>
        </w:rPr>
      </w:pPr>
      <w:r w:rsidRPr="00ED32C7">
        <w:rPr>
          <w:rFonts w:asciiTheme="majorHAnsi" w:hAnsiTheme="majorHAnsi" w:cstheme="majorHAnsi"/>
        </w:rPr>
        <w:t xml:space="preserve"> </w:t>
      </w:r>
    </w:p>
    <w:p w14:paraId="101CAD66" w14:textId="77777777" w:rsidR="007703AF" w:rsidRPr="00ED32C7" w:rsidRDefault="007703AF" w:rsidP="007703AF">
      <w:pPr>
        <w:ind w:left="-5"/>
        <w:rPr>
          <w:rFonts w:asciiTheme="majorHAnsi" w:hAnsiTheme="majorHAnsi" w:cstheme="majorHAnsi"/>
        </w:rPr>
      </w:pPr>
      <w:r w:rsidRPr="00ED32C7">
        <w:rPr>
          <w:rFonts w:asciiTheme="majorHAnsi" w:hAnsiTheme="majorHAnsi" w:cstheme="majorHAnsi"/>
        </w:rPr>
        <w:t xml:space="preserve">As the </w:t>
      </w:r>
      <w:proofErr w:type="spellStart"/>
      <w:r w:rsidRPr="00ED32C7">
        <w:rPr>
          <w:rFonts w:asciiTheme="majorHAnsi" w:hAnsiTheme="majorHAnsi" w:cstheme="majorHAnsi"/>
        </w:rPr>
        <w:t>Malling</w:t>
      </w:r>
      <w:proofErr w:type="spellEnd"/>
      <w:r w:rsidRPr="00ED32C7">
        <w:rPr>
          <w:rFonts w:asciiTheme="majorHAnsi" w:hAnsiTheme="majorHAnsi" w:cstheme="majorHAnsi"/>
        </w:rPr>
        <w:t xml:space="preserve"> Partnership of Headteachers, we </w:t>
      </w:r>
      <w:proofErr w:type="spellStart"/>
      <w:r w:rsidRPr="00ED32C7">
        <w:rPr>
          <w:rFonts w:asciiTheme="majorHAnsi" w:hAnsiTheme="majorHAnsi" w:cstheme="majorHAnsi"/>
        </w:rPr>
        <w:t>recognise</w:t>
      </w:r>
      <w:proofErr w:type="spellEnd"/>
      <w:r w:rsidRPr="00ED32C7">
        <w:rPr>
          <w:rFonts w:asciiTheme="majorHAnsi" w:hAnsiTheme="majorHAnsi" w:cstheme="majorHAnsi"/>
        </w:rPr>
        <w:t xml:space="preserve"> that consistency of approach is helpful for all schools and parents. Our agreed position is that where there is an officially confirmed requirement for a child to shield or a child is self-isolating due to suspected </w:t>
      </w:r>
      <w:proofErr w:type="spellStart"/>
      <w:r w:rsidRPr="00ED32C7">
        <w:rPr>
          <w:rFonts w:asciiTheme="majorHAnsi" w:hAnsiTheme="majorHAnsi" w:cstheme="majorHAnsi"/>
        </w:rPr>
        <w:t>Covid</w:t>
      </w:r>
      <w:proofErr w:type="spellEnd"/>
      <w:r w:rsidRPr="00ED32C7">
        <w:rPr>
          <w:rFonts w:asciiTheme="majorHAnsi" w:hAnsiTheme="majorHAnsi" w:cstheme="majorHAnsi"/>
        </w:rPr>
        <w:t xml:space="preserve"> 19 (themselves, in their household or by order of the NHS test and trace / local health protection team) remote learning will be made available by our schools.  </w:t>
      </w:r>
    </w:p>
    <w:p w14:paraId="3734E68A" w14:textId="77777777" w:rsidR="007703AF" w:rsidRPr="00ED32C7" w:rsidRDefault="007703AF" w:rsidP="007703AF">
      <w:pPr>
        <w:spacing w:after="0" w:line="259" w:lineRule="auto"/>
        <w:ind w:left="0" w:firstLine="0"/>
        <w:rPr>
          <w:rFonts w:asciiTheme="majorHAnsi" w:hAnsiTheme="majorHAnsi" w:cstheme="majorHAnsi"/>
        </w:rPr>
      </w:pPr>
      <w:r w:rsidRPr="00ED32C7">
        <w:rPr>
          <w:rFonts w:asciiTheme="majorHAnsi" w:hAnsiTheme="majorHAnsi" w:cstheme="majorHAnsi"/>
        </w:rPr>
        <w:t xml:space="preserve"> </w:t>
      </w:r>
    </w:p>
    <w:p w14:paraId="037D16BA" w14:textId="77777777" w:rsidR="007703AF" w:rsidRPr="00ED32C7" w:rsidRDefault="007703AF" w:rsidP="007703AF">
      <w:pPr>
        <w:ind w:left="-5"/>
        <w:rPr>
          <w:rFonts w:asciiTheme="majorHAnsi" w:hAnsiTheme="majorHAnsi" w:cstheme="majorHAnsi"/>
        </w:rPr>
      </w:pPr>
      <w:r w:rsidRPr="00ED32C7">
        <w:rPr>
          <w:rFonts w:asciiTheme="majorHAnsi" w:hAnsiTheme="majorHAnsi" w:cstheme="majorHAnsi"/>
        </w:rPr>
        <w:t xml:space="preserve">The provision of remote learning is not a requirement for those who do not fall into these categories including non </w:t>
      </w:r>
      <w:proofErr w:type="spellStart"/>
      <w:r w:rsidRPr="00ED32C7">
        <w:rPr>
          <w:rFonts w:asciiTheme="majorHAnsi" w:hAnsiTheme="majorHAnsi" w:cstheme="majorHAnsi"/>
        </w:rPr>
        <w:t>Covid</w:t>
      </w:r>
      <w:proofErr w:type="spellEnd"/>
      <w:r w:rsidRPr="00ED32C7">
        <w:rPr>
          <w:rFonts w:asciiTheme="majorHAnsi" w:hAnsiTheme="majorHAnsi" w:cstheme="majorHAnsi"/>
        </w:rPr>
        <w:t xml:space="preserve"> 19 related illness or absence.  Remote learning is not an alternative to students’ </w:t>
      </w:r>
      <w:proofErr w:type="gramStart"/>
      <w:r w:rsidRPr="00ED32C7">
        <w:rPr>
          <w:rFonts w:asciiTheme="majorHAnsi" w:hAnsiTheme="majorHAnsi" w:cstheme="majorHAnsi"/>
        </w:rPr>
        <w:t>full time</w:t>
      </w:r>
      <w:proofErr w:type="gramEnd"/>
      <w:r w:rsidRPr="00ED32C7">
        <w:rPr>
          <w:rFonts w:asciiTheme="majorHAnsi" w:hAnsiTheme="majorHAnsi" w:cstheme="majorHAnsi"/>
        </w:rPr>
        <w:t xml:space="preserve"> attendance at school.  </w:t>
      </w:r>
    </w:p>
    <w:p w14:paraId="70DD81D5" w14:textId="77777777" w:rsidR="007703AF" w:rsidRPr="00ED32C7" w:rsidRDefault="007703AF" w:rsidP="007703AF">
      <w:pPr>
        <w:spacing w:after="0" w:line="259" w:lineRule="auto"/>
        <w:ind w:left="0" w:firstLine="0"/>
        <w:rPr>
          <w:rFonts w:asciiTheme="majorHAnsi" w:hAnsiTheme="majorHAnsi" w:cstheme="majorHAnsi"/>
        </w:rPr>
      </w:pPr>
      <w:r w:rsidRPr="00ED32C7">
        <w:rPr>
          <w:rFonts w:asciiTheme="majorHAnsi" w:hAnsiTheme="majorHAnsi" w:cstheme="majorHAnsi"/>
        </w:rPr>
        <w:t xml:space="preserve"> </w:t>
      </w:r>
    </w:p>
    <w:p w14:paraId="7CCAC548" w14:textId="77777777" w:rsidR="007703AF" w:rsidRPr="00ED32C7" w:rsidRDefault="007703AF" w:rsidP="007703AF">
      <w:pPr>
        <w:pStyle w:val="Heading1"/>
        <w:ind w:left="-5"/>
        <w:rPr>
          <w:rFonts w:asciiTheme="majorHAnsi" w:hAnsiTheme="majorHAnsi" w:cstheme="majorHAnsi"/>
        </w:rPr>
      </w:pPr>
      <w:r w:rsidRPr="00ED32C7">
        <w:rPr>
          <w:rFonts w:asciiTheme="majorHAnsi" w:hAnsiTheme="majorHAnsi" w:cstheme="majorHAnsi"/>
        </w:rPr>
        <w:t xml:space="preserve">Principles of Remote Learning </w:t>
      </w:r>
    </w:p>
    <w:p w14:paraId="09FF5392" w14:textId="77777777" w:rsidR="007703AF" w:rsidRPr="00ED32C7" w:rsidRDefault="007703AF" w:rsidP="007703AF">
      <w:pPr>
        <w:ind w:left="-5"/>
        <w:rPr>
          <w:rFonts w:asciiTheme="majorHAnsi" w:hAnsiTheme="majorHAnsi" w:cstheme="majorHAnsi"/>
        </w:rPr>
      </w:pPr>
      <w:r w:rsidRPr="00ED32C7">
        <w:rPr>
          <w:rFonts w:asciiTheme="majorHAnsi" w:hAnsiTheme="majorHAnsi" w:cstheme="majorHAnsi"/>
        </w:rPr>
        <w:t xml:space="preserve">As </w:t>
      </w:r>
      <w:proofErr w:type="spellStart"/>
      <w:r w:rsidRPr="00ED32C7">
        <w:rPr>
          <w:rFonts w:asciiTheme="majorHAnsi" w:hAnsiTheme="majorHAnsi" w:cstheme="majorHAnsi"/>
        </w:rPr>
        <w:t>Malling</w:t>
      </w:r>
      <w:proofErr w:type="spellEnd"/>
      <w:r w:rsidRPr="00ED32C7">
        <w:rPr>
          <w:rFonts w:asciiTheme="majorHAnsi" w:hAnsiTheme="majorHAnsi" w:cstheme="majorHAnsi"/>
        </w:rPr>
        <w:t xml:space="preserve"> Partnership School Headteachers we </w:t>
      </w:r>
      <w:proofErr w:type="spellStart"/>
      <w:r w:rsidRPr="00ED32C7">
        <w:rPr>
          <w:rFonts w:asciiTheme="majorHAnsi" w:hAnsiTheme="majorHAnsi" w:cstheme="majorHAnsi"/>
        </w:rPr>
        <w:t>recognise</w:t>
      </w:r>
      <w:proofErr w:type="spellEnd"/>
      <w:r w:rsidRPr="00ED32C7">
        <w:rPr>
          <w:rFonts w:asciiTheme="majorHAnsi" w:hAnsiTheme="majorHAnsi" w:cstheme="majorHAnsi"/>
        </w:rPr>
        <w:t xml:space="preserve"> that there may be key differences between our schools when it comes to the delivery of remote learning </w:t>
      </w:r>
      <w:proofErr w:type="gramStart"/>
      <w:r w:rsidRPr="00ED32C7">
        <w:rPr>
          <w:rFonts w:asciiTheme="majorHAnsi" w:hAnsiTheme="majorHAnsi" w:cstheme="majorHAnsi"/>
        </w:rPr>
        <w:t>to  take</w:t>
      </w:r>
      <w:proofErr w:type="gramEnd"/>
      <w:r w:rsidRPr="00ED32C7">
        <w:rPr>
          <w:rFonts w:asciiTheme="majorHAnsi" w:hAnsiTheme="majorHAnsi" w:cstheme="majorHAnsi"/>
        </w:rPr>
        <w:t xml:space="preserve"> account of the identified needs of the students in our schools and our respective infrastructure and resources. </w:t>
      </w:r>
    </w:p>
    <w:p w14:paraId="2335B79F" w14:textId="77777777" w:rsidR="007703AF" w:rsidRPr="00ED32C7" w:rsidRDefault="007703AF" w:rsidP="007703AF">
      <w:pPr>
        <w:spacing w:after="0" w:line="259" w:lineRule="auto"/>
        <w:ind w:left="0" w:firstLine="0"/>
        <w:rPr>
          <w:rFonts w:asciiTheme="majorHAnsi" w:hAnsiTheme="majorHAnsi" w:cstheme="majorHAnsi"/>
        </w:rPr>
      </w:pPr>
      <w:r w:rsidRPr="00ED32C7">
        <w:rPr>
          <w:rFonts w:asciiTheme="majorHAnsi" w:hAnsiTheme="majorHAnsi" w:cstheme="majorHAnsi"/>
        </w:rPr>
        <w:t xml:space="preserve"> </w:t>
      </w:r>
    </w:p>
    <w:p w14:paraId="5ED20F59" w14:textId="77777777" w:rsidR="007703AF" w:rsidRPr="00ED32C7" w:rsidRDefault="007703AF" w:rsidP="007703AF">
      <w:pPr>
        <w:ind w:left="-5"/>
        <w:rPr>
          <w:rFonts w:asciiTheme="majorHAnsi" w:hAnsiTheme="majorHAnsi" w:cstheme="majorHAnsi"/>
        </w:rPr>
      </w:pPr>
      <w:r w:rsidRPr="00ED32C7">
        <w:rPr>
          <w:rFonts w:asciiTheme="majorHAnsi" w:hAnsiTheme="majorHAnsi" w:cstheme="majorHAnsi"/>
        </w:rPr>
        <w:t xml:space="preserve">The following principles for remote learning provision apply across all schools: </w:t>
      </w:r>
    </w:p>
    <w:p w14:paraId="3BA3B933" w14:textId="77777777" w:rsidR="007703AF" w:rsidRPr="00ED32C7" w:rsidRDefault="007703AF" w:rsidP="007703AF">
      <w:pPr>
        <w:spacing w:after="11" w:line="259" w:lineRule="auto"/>
        <w:ind w:left="0" w:firstLine="0"/>
        <w:rPr>
          <w:rFonts w:asciiTheme="majorHAnsi" w:hAnsiTheme="majorHAnsi" w:cstheme="majorHAnsi"/>
        </w:rPr>
      </w:pPr>
      <w:r w:rsidRPr="00ED32C7">
        <w:rPr>
          <w:rFonts w:asciiTheme="majorHAnsi" w:hAnsiTheme="majorHAnsi" w:cstheme="majorHAnsi"/>
        </w:rPr>
        <w:t xml:space="preserve"> </w:t>
      </w:r>
    </w:p>
    <w:p w14:paraId="1304BAA3" w14:textId="77777777" w:rsidR="007703AF" w:rsidRPr="00ED32C7" w:rsidRDefault="007703AF" w:rsidP="007703AF">
      <w:pPr>
        <w:numPr>
          <w:ilvl w:val="0"/>
          <w:numId w:val="1"/>
        </w:numPr>
        <w:ind w:hanging="360"/>
        <w:rPr>
          <w:rFonts w:asciiTheme="majorHAnsi" w:hAnsiTheme="majorHAnsi" w:cstheme="majorHAnsi"/>
        </w:rPr>
      </w:pPr>
      <w:r w:rsidRPr="00ED32C7">
        <w:rPr>
          <w:rFonts w:asciiTheme="majorHAnsi" w:hAnsiTheme="majorHAnsi" w:cstheme="majorHAnsi"/>
        </w:rPr>
        <w:lastRenderedPageBreak/>
        <w:t xml:space="preserve">provision is available to the individual or group of </w:t>
      </w:r>
      <w:proofErr w:type="gramStart"/>
      <w:r w:rsidRPr="00ED32C7">
        <w:rPr>
          <w:rFonts w:asciiTheme="majorHAnsi" w:hAnsiTheme="majorHAnsi" w:cstheme="majorHAnsi"/>
        </w:rPr>
        <w:t>student</w:t>
      </w:r>
      <w:proofErr w:type="gramEnd"/>
      <w:r w:rsidRPr="00ED32C7">
        <w:rPr>
          <w:rFonts w:asciiTheme="majorHAnsi" w:hAnsiTheme="majorHAnsi" w:cstheme="majorHAnsi"/>
        </w:rPr>
        <w:t xml:space="preserve">(s) from the first day an approved </w:t>
      </w:r>
      <w:proofErr w:type="spellStart"/>
      <w:r w:rsidRPr="00ED32C7">
        <w:rPr>
          <w:rFonts w:asciiTheme="majorHAnsi" w:hAnsiTheme="majorHAnsi" w:cstheme="majorHAnsi"/>
        </w:rPr>
        <w:t>Covid</w:t>
      </w:r>
      <w:proofErr w:type="spellEnd"/>
      <w:r w:rsidRPr="00ED32C7">
        <w:rPr>
          <w:rFonts w:asciiTheme="majorHAnsi" w:hAnsiTheme="majorHAnsi" w:cstheme="majorHAnsi"/>
        </w:rPr>
        <w:t xml:space="preserve"> 19 reason for absence is reported; </w:t>
      </w:r>
    </w:p>
    <w:p w14:paraId="3778C247" w14:textId="77777777" w:rsidR="007703AF" w:rsidRPr="00ED32C7" w:rsidRDefault="007703AF" w:rsidP="007703AF">
      <w:pPr>
        <w:numPr>
          <w:ilvl w:val="0"/>
          <w:numId w:val="1"/>
        </w:numPr>
        <w:ind w:hanging="360"/>
        <w:rPr>
          <w:rFonts w:asciiTheme="majorHAnsi" w:hAnsiTheme="majorHAnsi" w:cstheme="majorHAnsi"/>
        </w:rPr>
      </w:pPr>
      <w:r w:rsidRPr="00ED32C7">
        <w:rPr>
          <w:rFonts w:asciiTheme="majorHAnsi" w:hAnsiTheme="majorHAnsi" w:cstheme="majorHAnsi"/>
        </w:rPr>
        <w:t xml:space="preserve">provision offers curriculum continuity and enables students to continue in their class learning; </w:t>
      </w:r>
    </w:p>
    <w:p w14:paraId="2EC1E713" w14:textId="77777777" w:rsidR="007703AF" w:rsidRPr="00ED32C7" w:rsidRDefault="007703AF" w:rsidP="007703AF">
      <w:pPr>
        <w:numPr>
          <w:ilvl w:val="0"/>
          <w:numId w:val="1"/>
        </w:numPr>
        <w:ind w:hanging="360"/>
        <w:rPr>
          <w:rFonts w:asciiTheme="majorHAnsi" w:hAnsiTheme="majorHAnsi" w:cstheme="majorHAnsi"/>
        </w:rPr>
      </w:pPr>
      <w:r w:rsidRPr="00ED32C7">
        <w:rPr>
          <w:rFonts w:asciiTheme="majorHAnsi" w:hAnsiTheme="majorHAnsi" w:cstheme="majorHAnsi"/>
        </w:rPr>
        <w:t xml:space="preserve">provision offers a blend of high quality online and offline resources; </w:t>
      </w:r>
    </w:p>
    <w:p w14:paraId="5FCA901A" w14:textId="77777777" w:rsidR="007703AF" w:rsidRPr="00ED32C7" w:rsidRDefault="007703AF" w:rsidP="007703AF">
      <w:pPr>
        <w:numPr>
          <w:ilvl w:val="0"/>
          <w:numId w:val="1"/>
        </w:numPr>
        <w:ind w:hanging="360"/>
        <w:rPr>
          <w:rFonts w:asciiTheme="majorHAnsi" w:hAnsiTheme="majorHAnsi" w:cstheme="majorHAnsi"/>
        </w:rPr>
      </w:pPr>
      <w:r w:rsidRPr="00ED32C7">
        <w:rPr>
          <w:rFonts w:asciiTheme="majorHAnsi" w:hAnsiTheme="majorHAnsi" w:cstheme="majorHAnsi"/>
        </w:rPr>
        <w:t xml:space="preserve">provision ensures there is some opportunity to student(s) for teacher interaction, feedback and assessment; </w:t>
      </w:r>
    </w:p>
    <w:p w14:paraId="79072B3B" w14:textId="77777777" w:rsidR="007703AF" w:rsidRPr="00ED32C7" w:rsidRDefault="007703AF" w:rsidP="007703AF">
      <w:pPr>
        <w:numPr>
          <w:ilvl w:val="0"/>
          <w:numId w:val="1"/>
        </w:numPr>
        <w:ind w:hanging="360"/>
        <w:rPr>
          <w:rFonts w:asciiTheme="majorHAnsi" w:hAnsiTheme="majorHAnsi" w:cstheme="majorHAnsi"/>
        </w:rPr>
      </w:pPr>
      <w:r w:rsidRPr="00ED32C7">
        <w:rPr>
          <w:rFonts w:asciiTheme="majorHAnsi" w:hAnsiTheme="majorHAnsi" w:cstheme="majorHAnsi"/>
        </w:rPr>
        <w:t xml:space="preserve">individual schools will work directly with the families of SEND children unable to access remote education without adult support to ensure their access to a broad and ambitious curriculum; </w:t>
      </w:r>
    </w:p>
    <w:p w14:paraId="231264F4" w14:textId="77777777" w:rsidR="007703AF" w:rsidRPr="00ED32C7" w:rsidRDefault="007703AF" w:rsidP="007703AF">
      <w:pPr>
        <w:numPr>
          <w:ilvl w:val="0"/>
          <w:numId w:val="1"/>
        </w:numPr>
        <w:ind w:hanging="360"/>
        <w:rPr>
          <w:rFonts w:asciiTheme="majorHAnsi" w:hAnsiTheme="majorHAnsi" w:cstheme="majorHAnsi"/>
        </w:rPr>
      </w:pPr>
      <w:r w:rsidRPr="00ED32C7">
        <w:rPr>
          <w:rFonts w:asciiTheme="majorHAnsi" w:hAnsiTheme="majorHAnsi" w:cstheme="majorHAnsi"/>
        </w:rPr>
        <w:t xml:space="preserve">students without online access will be provided with alternative resources to support the curriculum continuity in their curriculum learning. </w:t>
      </w:r>
    </w:p>
    <w:p w14:paraId="13B7BB7C" w14:textId="77777777" w:rsidR="007703AF" w:rsidRPr="00ED32C7" w:rsidRDefault="007703AF" w:rsidP="007703AF">
      <w:pPr>
        <w:spacing w:after="0" w:line="259" w:lineRule="auto"/>
        <w:ind w:left="360" w:firstLine="0"/>
        <w:rPr>
          <w:rFonts w:asciiTheme="majorHAnsi" w:hAnsiTheme="majorHAnsi" w:cstheme="majorHAnsi"/>
        </w:rPr>
      </w:pPr>
      <w:r w:rsidRPr="00ED32C7">
        <w:rPr>
          <w:rFonts w:asciiTheme="majorHAnsi" w:hAnsiTheme="majorHAnsi" w:cstheme="majorHAnsi"/>
        </w:rPr>
        <w:t xml:space="preserve"> </w:t>
      </w:r>
    </w:p>
    <w:p w14:paraId="0AA04B88" w14:textId="77777777" w:rsidR="007703AF" w:rsidRDefault="007703AF" w:rsidP="007703AF">
      <w:pPr>
        <w:ind w:left="-5"/>
      </w:pPr>
      <w:r w:rsidRPr="00ED32C7">
        <w:rPr>
          <w:rFonts w:asciiTheme="majorHAnsi" w:hAnsiTheme="majorHAnsi" w:cstheme="majorHAnsi"/>
        </w:rPr>
        <w:t>We collectively agree that this will operate as part of a suite of online and offline provision and will not be the exclusive or default method of delivery across our schools.</w:t>
      </w:r>
      <w:r>
        <w:t xml:space="preserve">   </w:t>
      </w:r>
    </w:p>
    <w:p w14:paraId="27F208A2" w14:textId="77777777" w:rsidR="00184E1E" w:rsidRDefault="00184E1E"/>
    <w:sectPr w:rsidR="00184E1E">
      <w:headerReference w:type="even" r:id="rId10"/>
      <w:headerReference w:type="default" r:id="rId11"/>
      <w:headerReference w:type="first" r:id="rId12"/>
      <w:pgSz w:w="16838" w:h="11906" w:orient="landscape"/>
      <w:pgMar w:top="994" w:right="784" w:bottom="742" w:left="720" w:header="7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2B57F" w14:textId="77777777" w:rsidR="005E45A8" w:rsidRDefault="005E45A8">
      <w:pPr>
        <w:spacing w:after="0" w:line="240" w:lineRule="auto"/>
      </w:pPr>
      <w:r>
        <w:separator/>
      </w:r>
    </w:p>
  </w:endnote>
  <w:endnote w:type="continuationSeparator" w:id="0">
    <w:p w14:paraId="7FC91F97" w14:textId="77777777" w:rsidR="005E45A8" w:rsidRDefault="005E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17F02" w14:textId="77777777" w:rsidR="005E45A8" w:rsidRDefault="005E45A8">
      <w:pPr>
        <w:spacing w:after="0" w:line="240" w:lineRule="auto"/>
      </w:pPr>
      <w:r>
        <w:separator/>
      </w:r>
    </w:p>
  </w:footnote>
  <w:footnote w:type="continuationSeparator" w:id="0">
    <w:p w14:paraId="7EB93CF8" w14:textId="77777777" w:rsidR="005E45A8" w:rsidRDefault="005E4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5ED2" w14:textId="77777777" w:rsidR="00231F3C" w:rsidRDefault="005C2128">
    <w:pPr>
      <w:spacing w:after="0" w:line="259" w:lineRule="auto"/>
      <w:ind w:left="0" w:firstLine="0"/>
    </w:pPr>
    <w:r>
      <w:rPr>
        <w:b/>
        <w:color w:val="00B050"/>
        <w:sz w:val="22"/>
      </w:rPr>
      <w:t xml:space="preserve">Information correct at 21.09.20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D612" w14:textId="77777777" w:rsidR="00641CDC" w:rsidRDefault="00641CDC" w:rsidP="00641CDC">
    <w:pPr>
      <w:pStyle w:val="Header"/>
      <w:jc w:val="center"/>
      <w:rPr>
        <w:noProof/>
        <w:lang w:eastAsia="en-GB"/>
      </w:rPr>
    </w:pPr>
    <w:r>
      <w:rPr>
        <w:noProof/>
        <w:lang w:eastAsia="en-GB"/>
      </w:rPr>
      <w:drawing>
        <wp:inline distT="0" distB="0" distL="0" distR="0" wp14:anchorId="57E54859" wp14:editId="121554A7">
          <wp:extent cx="504702" cy="476906"/>
          <wp:effectExtent l="19050" t="19050" r="10160" b="18415"/>
          <wp:docPr id="3" name="Picture 3" descr="\\SRV-S-DC01\staff\hunth\Desktop\My work\SLT\Collaboration Partnership\2017-2018\Logos\Brookfield_inf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V-S-DC01\staff\hunth\Desktop\My work\SLT\Collaboration Partnership\2017-2018\Logos\Brookfield_infa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501" cy="496560"/>
                  </a:xfrm>
                  <a:prstGeom prst="rect">
                    <a:avLst/>
                  </a:prstGeom>
                  <a:noFill/>
                  <a:ln>
                    <a:solidFill>
                      <a:schemeClr val="tx1"/>
                    </a:solidFill>
                  </a:ln>
                </pic:spPr>
              </pic:pic>
            </a:graphicData>
          </a:graphic>
        </wp:inline>
      </w:drawing>
    </w:r>
    <w:r>
      <w:rPr>
        <w:noProof/>
        <w:lang w:eastAsia="en-GB"/>
      </w:rPr>
      <w:t xml:space="preserve"> </w:t>
    </w:r>
    <w:r>
      <w:rPr>
        <w:noProof/>
        <w:lang w:eastAsia="en-GB"/>
      </w:rPr>
      <w:drawing>
        <wp:inline distT="0" distB="0" distL="0" distR="0" wp14:anchorId="575D47BC" wp14:editId="3095D290">
          <wp:extent cx="470603" cy="470603"/>
          <wp:effectExtent l="19050" t="19050" r="24765" b="24765"/>
          <wp:docPr id="4" name="Picture 4" descr="\\SRV-S-DC01\staff\hunth\Desktop\My work\SLT\Collaboration Partnership\2017-2018\Logos\B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RV-S-DC01\staff\hunth\Desktop\My work\SLT\Collaboration Partnership\2017-2018\Logos\BJ.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6866" cy="486866"/>
                  </a:xfrm>
                  <a:prstGeom prst="rect">
                    <a:avLst/>
                  </a:prstGeom>
                  <a:noFill/>
                  <a:ln>
                    <a:solidFill>
                      <a:schemeClr val="tx1"/>
                    </a:solidFill>
                  </a:ln>
                </pic:spPr>
              </pic:pic>
            </a:graphicData>
          </a:graphic>
        </wp:inline>
      </w:drawing>
    </w:r>
    <w:r>
      <w:rPr>
        <w:noProof/>
        <w:lang w:eastAsia="en-GB"/>
      </w:rPr>
      <w:t xml:space="preserve"> </w:t>
    </w:r>
    <w:r>
      <w:rPr>
        <w:noProof/>
        <w:lang w:eastAsia="en-GB"/>
      </w:rPr>
      <w:drawing>
        <wp:inline distT="0" distB="0" distL="0" distR="0" wp14:anchorId="7EBB9AED" wp14:editId="7E337446">
          <wp:extent cx="467904" cy="467904"/>
          <wp:effectExtent l="19050" t="19050" r="27940" b="27940"/>
          <wp:docPr id="1" name="Picture 1" descr="\\SRV-S-DC01\staff\hunth\Desktop\My work\SLT\Collaboration Partnership\2017-2018\Logos\Ditton_inf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S-DC01\staff\hunth\Desktop\My work\SLT\Collaboration Partnership\2017-2018\Logos\Ditton_infant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7904" cy="467904"/>
                  </a:xfrm>
                  <a:prstGeom prst="rect">
                    <a:avLst/>
                  </a:prstGeom>
                  <a:noFill/>
                  <a:ln>
                    <a:solidFill>
                      <a:schemeClr val="tx1"/>
                    </a:solidFill>
                  </a:ln>
                </pic:spPr>
              </pic:pic>
            </a:graphicData>
          </a:graphic>
        </wp:inline>
      </w:drawing>
    </w:r>
    <w:r>
      <w:rPr>
        <w:noProof/>
        <w:lang w:eastAsia="en-GB"/>
      </w:rPr>
      <w:t xml:space="preserve"> </w:t>
    </w:r>
    <w:r>
      <w:rPr>
        <w:noProof/>
        <w:lang w:eastAsia="en-GB"/>
      </w:rPr>
      <w:drawing>
        <wp:inline distT="0" distB="0" distL="0" distR="0" wp14:anchorId="17009D24" wp14:editId="0D991D5C">
          <wp:extent cx="470535" cy="470535"/>
          <wp:effectExtent l="19050" t="19050" r="24765" b="24765"/>
          <wp:docPr id="2" name="Picture 2" descr="\\SRV-S-DC01\staff\hunth\Desktop\My work\SLT\Collaboration Partnership\2017-2018\Logos\Ditton_Jun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S-DC01\staff\hunth\Desktop\My work\SLT\Collaboration Partnership\2017-2018\Logos\Ditton_Junio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234" cy="486234"/>
                  </a:xfrm>
                  <a:prstGeom prst="rect">
                    <a:avLst/>
                  </a:prstGeom>
                  <a:noFill/>
                  <a:ln>
                    <a:solidFill>
                      <a:schemeClr val="tx1"/>
                    </a:solidFill>
                  </a:ln>
                </pic:spPr>
              </pic:pic>
            </a:graphicData>
          </a:graphic>
        </wp:inline>
      </w:drawing>
    </w:r>
    <w:r>
      <w:rPr>
        <w:noProof/>
        <w:lang w:eastAsia="en-GB"/>
      </w:rPr>
      <w:t xml:space="preserve"> </w:t>
    </w:r>
    <w:r>
      <w:rPr>
        <w:noProof/>
        <w:lang w:eastAsia="en-GB"/>
      </w:rPr>
      <w:drawing>
        <wp:inline distT="0" distB="0" distL="0" distR="0" wp14:anchorId="46081D80" wp14:editId="4060917D">
          <wp:extent cx="473582" cy="473582"/>
          <wp:effectExtent l="19050" t="19050" r="22225" b="22225"/>
          <wp:docPr id="5" name="Picture 5" descr="\\SRV-S-DC01\staff\hunth\Desktop\My work\SLT\Collaboration Partnership\2017-2018\Logos\leybou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RV-S-DC01\staff\hunth\Desktop\My work\SLT\Collaboration Partnership\2017-2018\Logos\leybour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582" cy="473582"/>
                  </a:xfrm>
                  <a:prstGeom prst="rect">
                    <a:avLst/>
                  </a:prstGeom>
                  <a:noFill/>
                  <a:ln>
                    <a:solidFill>
                      <a:schemeClr val="tx1"/>
                    </a:solidFill>
                  </a:ln>
                </pic:spPr>
              </pic:pic>
            </a:graphicData>
          </a:graphic>
        </wp:inline>
      </w:drawing>
    </w:r>
    <w:r>
      <w:rPr>
        <w:noProof/>
        <w:lang w:eastAsia="en-GB"/>
      </w:rPr>
      <w:t xml:space="preserve"> </w:t>
    </w:r>
    <w:r>
      <w:rPr>
        <w:noProof/>
        <w:lang w:eastAsia="en-GB"/>
      </w:rPr>
      <w:drawing>
        <wp:inline distT="0" distB="0" distL="0" distR="0" wp14:anchorId="53BA4805" wp14:editId="2C69B8F7">
          <wp:extent cx="468721" cy="468721"/>
          <wp:effectExtent l="19050" t="19050" r="26670" b="26670"/>
          <wp:docPr id="6" name="Picture 6" descr="\\SRV-S-DC01\staff\hunth\Desktop\My work\SLT\Collaboration Partnership\2017-2018\Logos\lunsf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S-DC01\staff\hunth\Desktop\My work\SLT\Collaboration Partnership\2017-2018\Logos\lunsfor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045" cy="482045"/>
                  </a:xfrm>
                  <a:prstGeom prst="rect">
                    <a:avLst/>
                  </a:prstGeom>
                  <a:noFill/>
                  <a:ln>
                    <a:solidFill>
                      <a:schemeClr val="tx1"/>
                    </a:solidFill>
                  </a:ln>
                </pic:spPr>
              </pic:pic>
            </a:graphicData>
          </a:graphic>
        </wp:inline>
      </w:drawing>
    </w:r>
    <w:r>
      <w:rPr>
        <w:noProof/>
        <w:lang w:eastAsia="en-GB"/>
      </w:rPr>
      <w:t xml:space="preserve"> </w:t>
    </w:r>
    <w:r>
      <w:rPr>
        <w:noProof/>
        <w:lang w:eastAsia="en-GB"/>
      </w:rPr>
      <w:drawing>
        <wp:inline distT="0" distB="0" distL="0" distR="0" wp14:anchorId="6EE9AAB4" wp14:editId="1546A677">
          <wp:extent cx="474194" cy="474194"/>
          <wp:effectExtent l="19050" t="19050" r="21590" b="21590"/>
          <wp:docPr id="7" name="Picture 7" descr="\\SRV-S-DC01\staff\hunth\Desktop\My work\SLT\Collaboration Partnership\2017-2018\Logos\Malling_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RV-S-DC01\staff\hunth\Desktop\My work\SLT\Collaboration Partnership\2017-2018\Logos\Malling_schoo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069" cy="485069"/>
                  </a:xfrm>
                  <a:prstGeom prst="rect">
                    <a:avLst/>
                  </a:prstGeom>
                  <a:noFill/>
                  <a:ln>
                    <a:solidFill>
                      <a:schemeClr val="tx1"/>
                    </a:solidFill>
                  </a:ln>
                </pic:spPr>
              </pic:pic>
            </a:graphicData>
          </a:graphic>
        </wp:inline>
      </w:drawing>
    </w:r>
    <w:r>
      <w:rPr>
        <w:noProof/>
        <w:lang w:eastAsia="en-GB"/>
      </w:rPr>
      <w:t xml:space="preserve"> </w:t>
    </w:r>
    <w:r>
      <w:rPr>
        <w:noProof/>
        <w:lang w:eastAsia="en-GB"/>
      </w:rPr>
      <w:drawing>
        <wp:inline distT="0" distB="0" distL="0" distR="0" wp14:anchorId="526CEC6F" wp14:editId="37B749EC">
          <wp:extent cx="470603" cy="470603"/>
          <wp:effectExtent l="19050" t="19050" r="24765" b="24765"/>
          <wp:docPr id="8" name="Picture 8" descr="\\SRV-S-DC01\staff\hunth\Desktop\My work\SLT\Collaboration Partnership\2017-2018\Logos\snod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RV-S-DC01\staff\hunth\Desktop\My work\SLT\Collaboration Partnership\2017-2018\Logos\snodl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603" cy="470603"/>
                  </a:xfrm>
                  <a:prstGeom prst="rect">
                    <a:avLst/>
                  </a:prstGeom>
                  <a:noFill/>
                  <a:ln>
                    <a:solidFill>
                      <a:schemeClr val="tx1"/>
                    </a:solidFill>
                  </a:ln>
                </pic:spPr>
              </pic:pic>
            </a:graphicData>
          </a:graphic>
        </wp:inline>
      </w:drawing>
    </w:r>
    <w:r>
      <w:rPr>
        <w:noProof/>
        <w:lang w:eastAsia="en-GB"/>
      </w:rPr>
      <w:t xml:space="preserve"> </w:t>
    </w:r>
    <w:r>
      <w:rPr>
        <w:noProof/>
        <w:lang w:eastAsia="en-GB"/>
      </w:rPr>
      <w:drawing>
        <wp:inline distT="0" distB="0" distL="0" distR="0" wp14:anchorId="0D9BB648" wp14:editId="29ACAFF0">
          <wp:extent cx="470535" cy="470535"/>
          <wp:effectExtent l="19050" t="19050" r="24765" b="24765"/>
          <wp:docPr id="10" name="Picture 10" descr="\\srv-s-dc01\staff\hunth\Desktop\My work\SLT\Collaboration Partnership\st_ja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rv-s-dc01\staff\hunth\Desktop\My work\SLT\Collaboration Partnership\st_jam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841" cy="470841"/>
                  </a:xfrm>
                  <a:prstGeom prst="rect">
                    <a:avLst/>
                  </a:prstGeom>
                  <a:noFill/>
                  <a:ln>
                    <a:solidFill>
                      <a:schemeClr val="tx1"/>
                    </a:solidFill>
                  </a:ln>
                </pic:spPr>
              </pic:pic>
            </a:graphicData>
          </a:graphic>
        </wp:inline>
      </w:drawing>
    </w:r>
  </w:p>
  <w:p w14:paraId="5CF2564A" w14:textId="77777777" w:rsidR="00641CDC" w:rsidRPr="00641CDC" w:rsidRDefault="00641CDC" w:rsidP="00641CDC">
    <w:pPr>
      <w:pStyle w:val="Header"/>
      <w:jc w:val="center"/>
      <w:rPr>
        <w:rFonts w:asciiTheme="majorHAnsi" w:hAnsiTheme="majorHAnsi" w:cstheme="majorHAnsi"/>
        <w:b/>
        <w:bCs/>
        <w:i/>
        <w:iCs/>
        <w:sz w:val="28"/>
        <w:szCs w:val="28"/>
      </w:rPr>
    </w:pPr>
    <w:r w:rsidRPr="00641CDC">
      <w:rPr>
        <w:rFonts w:asciiTheme="majorHAnsi" w:hAnsiTheme="majorHAnsi" w:cstheme="majorHAnsi"/>
        <w:b/>
        <w:bCs/>
        <w:i/>
        <w:iCs/>
        <w:noProof/>
        <w:sz w:val="28"/>
        <w:szCs w:val="28"/>
        <w:lang w:eastAsia="en-GB"/>
      </w:rPr>
      <w:t xml:space="preserve">The Malling Partnership </w:t>
    </w:r>
  </w:p>
  <w:p w14:paraId="32B8A75B" w14:textId="06CB8DA6" w:rsidR="00231F3C" w:rsidRPr="00641CDC" w:rsidRDefault="00E2521D" w:rsidP="00641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18C15" w14:textId="77777777" w:rsidR="00231F3C" w:rsidRDefault="005C2128">
    <w:pPr>
      <w:spacing w:after="0" w:line="259" w:lineRule="auto"/>
      <w:ind w:left="0" w:firstLine="0"/>
    </w:pPr>
    <w:r>
      <w:rPr>
        <w:b/>
        <w:color w:val="00B050"/>
        <w:sz w:val="22"/>
      </w:rPr>
      <w:t xml:space="preserve">Information correct at 21.09.20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35186"/>
    <w:multiLevelType w:val="hybridMultilevel"/>
    <w:tmpl w:val="809A27A4"/>
    <w:lvl w:ilvl="0" w:tplc="224063DC">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86427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6AA2CA">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F09482">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D45E5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D6CA02">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7A517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344538">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D449C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AF"/>
    <w:rsid w:val="00121B7B"/>
    <w:rsid w:val="00145E0C"/>
    <w:rsid w:val="00184E1E"/>
    <w:rsid w:val="005C2128"/>
    <w:rsid w:val="005E45A8"/>
    <w:rsid w:val="00641CDC"/>
    <w:rsid w:val="007703AF"/>
    <w:rsid w:val="00983BF9"/>
    <w:rsid w:val="00E2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3FEA"/>
  <w15:chartTrackingRefBased/>
  <w15:docId w15:val="{FA11CFDE-A0B6-4004-8EBE-FFCDE83D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3AF"/>
    <w:pPr>
      <w:spacing w:after="4" w:line="250"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rsid w:val="007703AF"/>
    <w:pPr>
      <w:keepNext/>
      <w:keepLines/>
      <w:spacing w:after="0"/>
      <w:ind w:left="10" w:hanging="10"/>
      <w:outlineLvl w:val="0"/>
    </w:pPr>
    <w:rPr>
      <w:rFonts w:ascii="Calibri" w:eastAsia="Calibri" w:hAnsi="Calibri" w:cs="Calibri"/>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3AF"/>
    <w:rPr>
      <w:rFonts w:ascii="Calibri" w:eastAsia="Calibri" w:hAnsi="Calibri" w:cs="Calibri"/>
      <w:b/>
      <w:color w:val="000000"/>
      <w:sz w:val="20"/>
    </w:rPr>
  </w:style>
  <w:style w:type="paragraph" w:styleId="Footer">
    <w:name w:val="footer"/>
    <w:basedOn w:val="Normal"/>
    <w:link w:val="FooterChar"/>
    <w:uiPriority w:val="99"/>
    <w:unhideWhenUsed/>
    <w:rsid w:val="00641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CDC"/>
    <w:rPr>
      <w:rFonts w:ascii="Calibri" w:eastAsia="Calibri" w:hAnsi="Calibri" w:cs="Calibri"/>
      <w:color w:val="000000"/>
      <w:sz w:val="20"/>
    </w:rPr>
  </w:style>
  <w:style w:type="paragraph" w:styleId="Header">
    <w:name w:val="header"/>
    <w:basedOn w:val="Normal"/>
    <w:link w:val="HeaderChar"/>
    <w:uiPriority w:val="99"/>
    <w:unhideWhenUsed/>
    <w:rsid w:val="00641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CDC"/>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87FBA11B424418D04AA13901B41B8" ma:contentTypeVersion="10" ma:contentTypeDescription="Create a new document." ma:contentTypeScope="" ma:versionID="f115cef893673084b9039fe56234e415">
  <xsd:schema xmlns:xsd="http://www.w3.org/2001/XMLSchema" xmlns:xs="http://www.w3.org/2001/XMLSchema" xmlns:p="http://schemas.microsoft.com/office/2006/metadata/properties" xmlns:ns3="ddb79dcc-98a7-4480-8f72-44bdbbe5202c" targetNamespace="http://schemas.microsoft.com/office/2006/metadata/properties" ma:root="true" ma:fieldsID="8ea582fd27a25baf6367393836a028a6" ns3:_="">
    <xsd:import namespace="ddb79dcc-98a7-4480-8f72-44bdbbe520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9dcc-98a7-4480-8f72-44bdbbe52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ECC61-246E-41FF-849E-626D3CE88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9dcc-98a7-4480-8f72-44bdbbe52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D287E-AB24-439D-9971-92218AC4A723}">
  <ds:schemaRefs>
    <ds:schemaRef ds:uri="http://schemas.microsoft.com/sharepoint/v3/contenttype/forms"/>
  </ds:schemaRefs>
</ds:datastoreItem>
</file>

<file path=customXml/itemProps3.xml><?xml version="1.0" encoding="utf-8"?>
<ds:datastoreItem xmlns:ds="http://schemas.openxmlformats.org/officeDocument/2006/customXml" ds:itemID="{CCD060E7-4CBB-4018-98B6-65EF1B601924}">
  <ds:schemaRefs>
    <ds:schemaRef ds:uri="http://schemas.microsoft.com/office/2006/metadata/properties"/>
    <ds:schemaRef ds:uri="http://purl.org/dc/dcmitype/"/>
    <ds:schemaRef ds:uri="http://schemas.microsoft.com/office/2006/documentManagement/types"/>
    <ds:schemaRef ds:uri="ddb79dcc-98a7-4480-8f72-44bdbbe5202c"/>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Anscombe</dc:creator>
  <cp:keywords/>
  <dc:description/>
  <cp:lastModifiedBy>Catherine Smith</cp:lastModifiedBy>
  <cp:revision>2</cp:revision>
  <dcterms:created xsi:type="dcterms:W3CDTF">2021-01-08T11:20:00Z</dcterms:created>
  <dcterms:modified xsi:type="dcterms:W3CDTF">2021-01-08T11:20:00Z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0x01010004E87FBA11B424418D04AA13901B41B8</vt:lpwstr>
  </property>
</Properties>
</file>